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рисками. Аудит и внутренний контроль</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рисками. Аудит и внутренний контроль»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«Управление рисками. Аудит и внутренний контроль».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рисками. Аудит и внутренний контроль»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реестр рисков, карту рисков, планы мероприятий и контрольные процедуры по рискам, принципы построения реестра рисков, карты рисков и правила выбора метода, техники оценки риска (достаточность ресурсов, характер и степень неопределенности, сложность метода, техники)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критерии, применяемые при выработке мероприятий по воздействию на риски в разрезе отдельных видов, методы, техники, технологии управления различными видами риска, методы воздействия на риски в разрезе отдельных их видов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возможности инструментов риск-менеджмента для анализа рисков организации, виды, методы, формы и инструменты внутреннего контроля, план мероприятий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нормы корпоративного управления и корпоративной культуры, нормы профессиональной этики, требования к обеспечению сохранения коммерческой тайны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использовать в профессиональной деятельности нормы корпоративного управления и корпоративной культуры, нормы профессиональной этики, требования к обеспечению сохранения коммерческой тайны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актуализации карты рисков, реестра рисков, плана мероприятий по управлению рисками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идентификации и регистрация проблем, касающихся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мониторинга  рисков и мониторинга мероприятий по воздействию на риски</w:t>
            </w:r>
          </w:p>
        </w:tc>
      </w:tr>
      <w:tr>
        <w:trPr>
          <w:trHeight w:hRule="exact" w:val="826.875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использования в профессиональной деятельности норм корпоративного управления и корпоративной культуры, норм профессиональной этики, требований к обеспечению сохранения коммерческой тайны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66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«Управление рисками. Аудит и внутренний контроль»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Консалтинг в риск-менеджменте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5734.7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Риски в современном бизнесе. Классификация рисков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940.5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анализа и управления рисками с другими дисциплинами. Понятие риска. Формы проявления риска. Природа риска: риски, обусловленные вероятностью, и риски, обусловленные неопределенностью. Предпринимательские и непредпринимательские риски. Многообразие финансовых рисков. Особенности классификации финансовых рисков. Основные элементы классификации рисков. Качественное и количественное понимание рисков. Риски: положительная и негативная сторона прогнозов. Риски: управление гибкостью (реактивной и проактивной). Риски бизнес процессов и риски активов. Общеэкономические и политические риски (риски окружающей среды). Риски бизнес-процессов: виды и причины возникновения. Операционный риск – эффективность, результативность управления инвестициями.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Управленческий риск – незнание основ управления рисками, незаконные действия со стороны управляющего компанией. Риск информационных технологий – несоответствие информационных технологий компетенциям компании. Риск лояльности – мошенничество. Финансовый рыночный риск – ликвидность, концентрация кредитных ресурсов, изменение кредитной политики банков. Риски, связанные с информацией для принятия решений. Операционный риск – неадекватность ключевых показателей деятельности. Финансовый риск (текущий) – неадекватное бюджетирование и неоптимальное налогообложение. Стратегический риск – неадекватная оценка стоимости бизнес-модели- внутренний контроль.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Оценка рисков. Карта рисков как инструмент анализа и контроля рисков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Количественный анализ рисков. Анализ рисков, их приоритизация. VaR (Value atRisk) как инструмент для оценки и принятия краткосрочных решений. ROV (Real Options Valuation) как инструмент для оценки и принятия долгосрочных решений в отношении инвестиционных проектов. Применение дерева решений для принятия стратегических решений по развитию. Назначение и структура карты рисков. Примеры составления карт для различных отраслей. Реестр рисков производственной компании. Составление базы произошедших рисковых событий. Актуализация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Модель управления бизнес-рисками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модели и анализ бизнес-рисков. Разработка стратегий. Функционирование модели. Роль внутреннего аудита. Координация риск менеджмента и службы внутреннего контроля. Применение положений закона Сарбейнса Оксли в практике риск менеджмента международных компаний. Потенциальные риски процесса / функции/ требования, Значение и механизмы возникновения. Меры по предотвращению и обнаружению. Определение приоритетного числа риска и рекомендуемые мероприятия.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противорисковых мероприятий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противодействия рискам. Избегание, Программы недопущения рисков. Мониторинг. Отсутствие действий (сознательное). Оценка управляющих последствий противорисковых мероприятий. Изменение вероятности наступления события. Расходы на недопущение риска. Особенности работы по рискам группы ПБиОТ и экология. Опыт российских компаний по риск-менеджменту.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концепция развития и организация внутреннего аудита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Внутренний аудит как эффективная форма контроля в системе корпоративного управления хозяйствующим субъектом. Сущность внутреннего аудита и концепция его развития. Цель, виды, задачи внутреннего аудита. Риск-ориентированный внутренний аудит. Его взаимосвязь с другими формами финансового контроля. Сущность и значение стандартов внутреннего аудита, как инструментов нормативного и методологического регулирования внутреннего аудита рисков организации. Требования, предъявляемые к ним. Международные профессиональные стандарты внутреннего аудита. Методические приемы внутреннего аудита. Выборочный метод аудита, его сущность и значение. Организационный статус службы внутреннего аудита. Регламентирующие документы: положение о службе (отделе) внутреннего аудита, должностные инструкции, планы, методические указания по осуществлению внутреннего аудита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Процедуры оценки рисков и сопутствующие действия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Процедуры оценки рисков (направление запросов, аналитические процедуры, наблюдение и инспектирование. Понимание аудируемой организации и ее окружения, включая систему внутреннего контроля организации. Система внутреннего контроля организации. Формирование процедур оценки рисков и сопутствующих действий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Технология внутреннего аудита. Внутренний аудит финансово- инвестиционного цикла</w:t>
            </w:r>
          </w:p>
        </w:tc>
      </w:tr>
      <w:tr>
        <w:trPr>
          <w:trHeight w:hRule="exact" w:val="1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внутреннего аудита. Подготовка и планирование внутреннего аудита, их проблемные аспекты. Оценка системы внутреннего контроля и учета. Оценка риска контроля. Корректировка программы. Подготовка и планирование внутреннего аудита, их проблемные аспекты. Оценка системы внутреннего контроля и учета. Оценка риска контроля. Корректировка программы. Сбор и документирование аудиторских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доказательств. Обобщение результатов проведения внутреннего аудита. Итоговые документы внутреннего аудитора. Проверка событий после отчетной даты. Контроль исполнения принятых по рекомендациям внутреннего аудитора решений.</w:t>
            </w:r>
          </w:p>
          <w:p>
            <w:pPr>
              <w:jc w:val="both"/>
              <w:spacing w:after="0" w:line="240" w:lineRule="auto"/>
              <w:rPr>
                <w:sz w:val="24"/>
                <w:szCs w:val="24"/>
              </w:rPr>
            </w:pPr>
            <w:r>
              <w:rPr>
                <w:rFonts w:ascii="Times New Roman" w:hAnsi="Times New Roman" w:cs="Times New Roman"/>
                <w:color w:val="#000000"/>
                <w:sz w:val="24"/>
                <w:szCs w:val="24"/>
              </w:rPr>
              <w:t> Цель внутреннего аудита финансово-инвестиционного цикла, нормативная база, источники информации. Оценка систем внутреннего контроля и учета операций финансово-инвестиционного цикла. Внутренний аудит собственного капитала. Зоны риска внутреннего аудита уставного капитала. Проблемы внутреннего аудита добавочного и резервного капитала. Внутренний аудит кредитов и займов. Цель, этапы, задачи, информационная база внутреннего аудита финансовых вложений.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Риски в современном бизнесе. Классификация рисков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Операционный риск – эффективность, результативность управления инвестициями - внутренний контроль - внутренний контроль.</w:t>
            </w:r>
          </w:p>
          <w:p>
            <w:pPr>
              <w:jc w:val="both"/>
              <w:spacing w:after="0" w:line="240" w:lineRule="auto"/>
              <w:rPr>
                <w:sz w:val="24"/>
                <w:szCs w:val="24"/>
              </w:rPr>
            </w:pPr>
            <w:r>
              <w:rPr>
                <w:rFonts w:ascii="Times New Roman" w:hAnsi="Times New Roman" w:cs="Times New Roman"/>
                <w:color w:val="#000000"/>
                <w:sz w:val="24"/>
                <w:szCs w:val="24"/>
              </w:rPr>
              <w:t> 5.	Управленческий риск – незнание основ управления рисками, незаконные действия со стороны управляющего компанией - внутренний контроль.</w:t>
            </w:r>
          </w:p>
          <w:p>
            <w:pPr>
              <w:jc w:val="both"/>
              <w:spacing w:after="0" w:line="240" w:lineRule="auto"/>
              <w:rPr>
                <w:sz w:val="24"/>
                <w:szCs w:val="24"/>
              </w:rPr>
            </w:pPr>
            <w:r>
              <w:rPr>
                <w:rFonts w:ascii="Times New Roman" w:hAnsi="Times New Roman" w:cs="Times New Roman"/>
                <w:color w:val="#000000"/>
                <w:sz w:val="24"/>
                <w:szCs w:val="24"/>
              </w:rPr>
              <w:t> 6.	Риск информационных технологий – несоответствие информационных технологий компетенциям компании - внутренний контроль.</w:t>
            </w:r>
          </w:p>
          <w:p>
            <w:pPr>
              <w:jc w:val="both"/>
              <w:spacing w:after="0" w:line="240" w:lineRule="auto"/>
              <w:rPr>
                <w:sz w:val="24"/>
                <w:szCs w:val="24"/>
              </w:rPr>
            </w:pPr>
            <w:r>
              <w:rPr>
                <w:rFonts w:ascii="Times New Roman" w:hAnsi="Times New Roman" w:cs="Times New Roman"/>
                <w:color w:val="#000000"/>
                <w:sz w:val="24"/>
                <w:szCs w:val="24"/>
              </w:rPr>
              <w:t> 7.	Риск лояльности – мошенничество - внутренний контроль.</w:t>
            </w:r>
          </w:p>
          <w:p>
            <w:pPr>
              <w:jc w:val="both"/>
              <w:spacing w:after="0" w:line="240" w:lineRule="auto"/>
              <w:rPr>
                <w:sz w:val="24"/>
                <w:szCs w:val="24"/>
              </w:rPr>
            </w:pPr>
            <w:r>
              <w:rPr>
                <w:rFonts w:ascii="Times New Roman" w:hAnsi="Times New Roman" w:cs="Times New Roman"/>
                <w:color w:val="#000000"/>
                <w:sz w:val="24"/>
                <w:szCs w:val="24"/>
              </w:rPr>
              <w:t> 8.	Финансовый рыночный риск – ликвидность, концентрация кредитных ресурсов, изменение кредитной политики банков- внутренний контроль .</w:t>
            </w:r>
          </w:p>
          <w:p>
            <w:pPr>
              <w:jc w:val="both"/>
              <w:spacing w:after="0" w:line="240" w:lineRule="auto"/>
              <w:rPr>
                <w:sz w:val="24"/>
                <w:szCs w:val="24"/>
              </w:rPr>
            </w:pPr>
            <w:r>
              <w:rPr>
                <w:rFonts w:ascii="Times New Roman" w:hAnsi="Times New Roman" w:cs="Times New Roman"/>
                <w:color w:val="#000000"/>
                <w:sz w:val="24"/>
                <w:szCs w:val="24"/>
              </w:rPr>
              <w:t> 9.	Риски, связанные с информацией для принятия решений - внутренний контроль .</w:t>
            </w:r>
          </w:p>
          <w:p>
            <w:pPr>
              <w:jc w:val="both"/>
              <w:spacing w:after="0" w:line="240" w:lineRule="auto"/>
              <w:rPr>
                <w:sz w:val="24"/>
                <w:szCs w:val="24"/>
              </w:rPr>
            </w:pPr>
            <w:r>
              <w:rPr>
                <w:rFonts w:ascii="Times New Roman" w:hAnsi="Times New Roman" w:cs="Times New Roman"/>
                <w:color w:val="#000000"/>
                <w:sz w:val="24"/>
                <w:szCs w:val="24"/>
              </w:rPr>
              <w:t> 10.	Операционный риск – неадекватность ключевых показателей деятельности - внутренний контроль.</w:t>
            </w:r>
          </w:p>
          <w:p>
            <w:pPr>
              <w:jc w:val="both"/>
              <w:spacing w:after="0" w:line="240" w:lineRule="auto"/>
              <w:rPr>
                <w:sz w:val="24"/>
                <w:szCs w:val="24"/>
              </w:rPr>
            </w:pPr>
            <w:r>
              <w:rPr>
                <w:rFonts w:ascii="Times New Roman" w:hAnsi="Times New Roman" w:cs="Times New Roman"/>
                <w:color w:val="#000000"/>
                <w:sz w:val="24"/>
                <w:szCs w:val="24"/>
              </w:rPr>
              <w:t> 11.	Финансовый риск (текущий) – неадекватное бюджетирование и неоптимальное налогообложение - внутренний контроль.</w:t>
            </w:r>
          </w:p>
          <w:p>
            <w:pPr>
              <w:jc w:val="both"/>
              <w:spacing w:after="0" w:line="240" w:lineRule="auto"/>
              <w:rPr>
                <w:sz w:val="24"/>
                <w:szCs w:val="24"/>
              </w:rPr>
            </w:pPr>
            <w:r>
              <w:rPr>
                <w:rFonts w:ascii="Times New Roman" w:hAnsi="Times New Roman" w:cs="Times New Roman"/>
                <w:color w:val="#000000"/>
                <w:sz w:val="24"/>
                <w:szCs w:val="24"/>
              </w:rPr>
              <w:t> 12.	Стратегический риск – неадекватная оценка стоимости бизнес-модели - внутренний контроль.</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Оценка рисков. Карта рисков как инструмент анализа и контроля рисков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Примеры составления карт для различных отраслей.</w:t>
            </w:r>
          </w:p>
          <w:p>
            <w:pPr>
              <w:jc w:val="both"/>
              <w:spacing w:after="0" w:line="240" w:lineRule="auto"/>
              <w:rPr>
                <w:sz w:val="24"/>
                <w:szCs w:val="24"/>
              </w:rPr>
            </w:pPr>
            <w:r>
              <w:rPr>
                <w:rFonts w:ascii="Times New Roman" w:hAnsi="Times New Roman" w:cs="Times New Roman"/>
                <w:color w:val="#000000"/>
                <w:sz w:val="24"/>
                <w:szCs w:val="24"/>
              </w:rPr>
              <w:t> 6.	Реестр рисков производственной компании.</w:t>
            </w:r>
          </w:p>
          <w:p>
            <w:pPr>
              <w:jc w:val="both"/>
              <w:spacing w:after="0" w:line="240" w:lineRule="auto"/>
              <w:rPr>
                <w:sz w:val="24"/>
                <w:szCs w:val="24"/>
              </w:rPr>
            </w:pPr>
            <w:r>
              <w:rPr>
                <w:rFonts w:ascii="Times New Roman" w:hAnsi="Times New Roman" w:cs="Times New Roman"/>
                <w:color w:val="#000000"/>
                <w:sz w:val="24"/>
                <w:szCs w:val="24"/>
              </w:rPr>
              <w:t> 7.	Составление базы произошедших рисковых событий.</w:t>
            </w:r>
          </w:p>
          <w:p>
            <w:pPr>
              <w:jc w:val="both"/>
              <w:spacing w:after="0" w:line="240" w:lineRule="auto"/>
              <w:rPr>
                <w:sz w:val="24"/>
                <w:szCs w:val="24"/>
              </w:rPr>
            </w:pPr>
            <w:r>
              <w:rPr>
                <w:rFonts w:ascii="Times New Roman" w:hAnsi="Times New Roman" w:cs="Times New Roman"/>
                <w:color w:val="#000000"/>
                <w:sz w:val="24"/>
                <w:szCs w:val="24"/>
              </w:rPr>
              <w:t> 8.	Актуализация базы рисков: ежегодная и ежеквартальная. Процедуры и ответственные лица.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Модель управления бизнес-рисками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Разработка стратегий. Функционирование модели. Роль внутреннего аудита.</w:t>
            </w:r>
          </w:p>
          <w:p>
            <w:pPr>
              <w:jc w:val="both"/>
              <w:spacing w:after="0" w:line="240" w:lineRule="auto"/>
              <w:rPr>
                <w:sz w:val="24"/>
                <w:szCs w:val="24"/>
              </w:rPr>
            </w:pPr>
            <w:r>
              <w:rPr>
                <w:rFonts w:ascii="Times New Roman" w:hAnsi="Times New Roman" w:cs="Times New Roman"/>
                <w:color w:val="#000000"/>
                <w:sz w:val="24"/>
                <w:szCs w:val="24"/>
              </w:rPr>
              <w:t> 6.	Применение положений закона Сарбейнса Оксли в практике риск менеджмента международных компаний.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противорисковых мероприятий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Оценка управляющих последствий противорисковых мероприятий.</w:t>
            </w:r>
          </w:p>
          <w:p>
            <w:pPr>
              <w:jc w:val="both"/>
              <w:spacing w:after="0" w:line="240" w:lineRule="auto"/>
              <w:rPr>
                <w:sz w:val="24"/>
                <w:szCs w:val="24"/>
              </w:rPr>
            </w:pPr>
            <w:r>
              <w:rPr>
                <w:rFonts w:ascii="Times New Roman" w:hAnsi="Times New Roman" w:cs="Times New Roman"/>
                <w:color w:val="#000000"/>
                <w:sz w:val="24"/>
                <w:szCs w:val="24"/>
              </w:rPr>
              <w:t> 7.	Опыт российских компаний по риск-менеджменту.</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концепция развития и организация внутреннего аудита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Проблемы повышения контроля качества, эффективности деятельности службы внутреннего аудита и пути их решения.</w:t>
            </w:r>
          </w:p>
          <w:p>
            <w:pPr>
              <w:jc w:val="both"/>
              <w:spacing w:after="0" w:line="240" w:lineRule="auto"/>
              <w:rPr>
                <w:sz w:val="24"/>
                <w:szCs w:val="24"/>
              </w:rPr>
            </w:pPr>
            <w:r>
              <w:rPr>
                <w:rFonts w:ascii="Times New Roman" w:hAnsi="Times New Roman" w:cs="Times New Roman"/>
                <w:color w:val="#000000"/>
                <w:sz w:val="24"/>
                <w:szCs w:val="24"/>
              </w:rPr>
              <w:t> 7.	Профессиональные и этические принципы деятельности внутренних аудиторов. Кодекс профессиональной этики внутренних аудиторов.</w:t>
            </w:r>
          </w:p>
          <w:p>
            <w:pPr>
              <w:jc w:val="both"/>
              <w:spacing w:after="0" w:line="240" w:lineRule="auto"/>
              <w:rPr>
                <w:sz w:val="24"/>
                <w:szCs w:val="24"/>
              </w:rPr>
            </w:pPr>
            <w:r>
              <w:rPr>
                <w:rFonts w:ascii="Times New Roman" w:hAnsi="Times New Roman" w:cs="Times New Roman"/>
                <w:color w:val="#000000"/>
                <w:sz w:val="24"/>
                <w:szCs w:val="24"/>
              </w:rPr>
              <w:t> 8.	Координация работы внутренних аудиторов с деятельностью сотрудников других подразделений и внешних аудиторов.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Процедуры оценки рисков и сопутствующие действия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Выявление и оценка рисков существенного искажения</w:t>
            </w:r>
          </w:p>
          <w:p>
            <w:pPr>
              <w:jc w:val="both"/>
              <w:spacing w:after="0" w:line="240" w:lineRule="auto"/>
              <w:rPr>
                <w:sz w:val="24"/>
                <w:szCs w:val="24"/>
              </w:rPr>
            </w:pPr>
            <w:r>
              <w:rPr>
                <w:rFonts w:ascii="Times New Roman" w:hAnsi="Times New Roman" w:cs="Times New Roman"/>
                <w:color w:val="#000000"/>
                <w:sz w:val="24"/>
                <w:szCs w:val="24"/>
              </w:rPr>
              <w:t> 2.	Выявление и оценка рисков существенного искажения (на уровне финансовой отчетности, на уровне предпосылок)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Технология внутреннего аудита. Внутренний аудит финансово- инвестиционного цикла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Внутренний аудит собственного капитала. Зоны риска внутреннего аудита уставного капитала.</w:t>
            </w:r>
          </w:p>
          <w:p>
            <w:pPr>
              <w:jc w:val="both"/>
              <w:spacing w:after="0" w:line="240" w:lineRule="auto"/>
              <w:rPr>
                <w:sz w:val="24"/>
                <w:szCs w:val="24"/>
              </w:rPr>
            </w:pPr>
            <w:r>
              <w:rPr>
                <w:rFonts w:ascii="Times New Roman" w:hAnsi="Times New Roman" w:cs="Times New Roman"/>
                <w:color w:val="#000000"/>
                <w:sz w:val="24"/>
                <w:szCs w:val="24"/>
              </w:rPr>
              <w:t> 5.	Внутренний аудит кредитов и займов. Цель, этапы, задачи, информационная база внутреннего аудита финансовых вложений.</w:t>
            </w:r>
          </w:p>
          <w:p>
            <w:pPr>
              <w:jc w:val="both"/>
              <w:spacing w:after="0" w:line="240" w:lineRule="auto"/>
              <w:rPr>
                <w:sz w:val="24"/>
                <w:szCs w:val="24"/>
              </w:rPr>
            </w:pPr>
            <w:r>
              <w:rPr>
                <w:rFonts w:ascii="Times New Roman" w:hAnsi="Times New Roman" w:cs="Times New Roman"/>
                <w:color w:val="#000000"/>
                <w:sz w:val="24"/>
                <w:szCs w:val="24"/>
              </w:rPr>
              <w:t> 6.	Методики внутреннего аудита финансовых вложений, зоны риска. Обобщение и оценка результатов внутреннего аудита операций финансово-инвестиционного цикла, типичные ошибки, рабочая документация.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Риски в современном бизнесе. Классификация рисков</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Риски: положительная и негативная сторона прогнозов. Риски: управление гибкостью (реактивной и проактивной) .</w:t>
            </w:r>
          </w:p>
          <w:p>
            <w:pPr>
              <w:jc w:val="left"/>
              <w:spacing w:after="0" w:line="240" w:lineRule="auto"/>
              <w:rPr>
                <w:sz w:val="24"/>
                <w:szCs w:val="24"/>
              </w:rPr>
            </w:pPr>
            <w:r>
              <w:rPr>
                <w:rFonts w:ascii="Times New Roman" w:hAnsi="Times New Roman" w:cs="Times New Roman"/>
                <w:color w:val="#000000"/>
                <w:sz w:val="24"/>
                <w:szCs w:val="24"/>
              </w:rPr>
              <w:t> 2.	Риски бизнес процессов и риски активов. Общеэкономические и политические риски (риски окружающей среды.</w:t>
            </w:r>
          </w:p>
          <w:p>
            <w:pPr>
              <w:jc w:val="left"/>
              <w:spacing w:after="0" w:line="240" w:lineRule="auto"/>
              <w:rPr>
                <w:sz w:val="24"/>
                <w:szCs w:val="24"/>
              </w:rPr>
            </w:pPr>
            <w:r>
              <w:rPr>
                <w:rFonts w:ascii="Times New Roman" w:hAnsi="Times New Roman" w:cs="Times New Roman"/>
                <w:color w:val="#000000"/>
                <w:sz w:val="24"/>
                <w:szCs w:val="24"/>
              </w:rPr>
              <w:t> 3.	Риски бизнес-процессов: виды и причины возникновения.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Оценка рисков. Карта рисков как инструмент анализа и контроля рисков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Количественный анализ рисков.</w:t>
            </w:r>
          </w:p>
          <w:p>
            <w:pPr>
              <w:jc w:val="left"/>
              <w:spacing w:after="0" w:line="240" w:lineRule="auto"/>
              <w:rPr>
                <w:sz w:val="24"/>
                <w:szCs w:val="24"/>
              </w:rPr>
            </w:pPr>
            <w:r>
              <w:rPr>
                <w:rFonts w:ascii="Times New Roman" w:hAnsi="Times New Roman" w:cs="Times New Roman"/>
                <w:color w:val="#000000"/>
                <w:sz w:val="24"/>
                <w:szCs w:val="24"/>
              </w:rPr>
              <w:t> 2.	Анализ рисков, их приоритизация. VaR (Value atRisk) как инструмент для оценки и принятия краткосрочных решений. ROV (Real Options Valuation) как инструмент для оценки и принятия долгосрочных решений в отношении инвестиционных проектов.</w:t>
            </w:r>
          </w:p>
          <w:p>
            <w:pPr>
              <w:jc w:val="left"/>
              <w:spacing w:after="0" w:line="240" w:lineRule="auto"/>
              <w:rPr>
                <w:sz w:val="24"/>
                <w:szCs w:val="24"/>
              </w:rPr>
            </w:pPr>
            <w:r>
              <w:rPr>
                <w:rFonts w:ascii="Times New Roman" w:hAnsi="Times New Roman" w:cs="Times New Roman"/>
                <w:color w:val="#000000"/>
                <w:sz w:val="24"/>
                <w:szCs w:val="24"/>
              </w:rPr>
              <w:t> 3.	Применение дерева решений для принятия стратегических решений по развитию.</w:t>
            </w:r>
          </w:p>
          <w:p>
            <w:pPr>
              <w:jc w:val="left"/>
              <w:spacing w:after="0" w:line="240" w:lineRule="auto"/>
              <w:rPr>
                <w:sz w:val="24"/>
                <w:szCs w:val="24"/>
              </w:rPr>
            </w:pPr>
            <w:r>
              <w:rPr>
                <w:rFonts w:ascii="Times New Roman" w:hAnsi="Times New Roman" w:cs="Times New Roman"/>
                <w:color w:val="#000000"/>
                <w:sz w:val="24"/>
                <w:szCs w:val="24"/>
              </w:rPr>
              <w:t> 4.	Назначение и структура карты рисков.</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Модель управления бизнес-рисками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модели и анализ бизнес-рисков.</w:t>
            </w:r>
          </w:p>
          <w:p>
            <w:pPr>
              <w:jc w:val="left"/>
              <w:spacing w:after="0" w:line="240" w:lineRule="auto"/>
              <w:rPr>
                <w:sz w:val="24"/>
                <w:szCs w:val="24"/>
              </w:rPr>
            </w:pPr>
            <w:r>
              <w:rPr>
                <w:rFonts w:ascii="Times New Roman" w:hAnsi="Times New Roman" w:cs="Times New Roman"/>
                <w:color w:val="#000000"/>
                <w:sz w:val="24"/>
                <w:szCs w:val="24"/>
              </w:rPr>
              <w:t> 2.	Координация риск менеджмента и службы внутреннего контроля.</w:t>
            </w:r>
          </w:p>
          <w:p>
            <w:pPr>
              <w:jc w:val="left"/>
              <w:spacing w:after="0" w:line="240" w:lineRule="auto"/>
              <w:rPr>
                <w:sz w:val="24"/>
                <w:szCs w:val="24"/>
              </w:rPr>
            </w:pPr>
            <w:r>
              <w:rPr>
                <w:rFonts w:ascii="Times New Roman" w:hAnsi="Times New Roman" w:cs="Times New Roman"/>
                <w:color w:val="#000000"/>
                <w:sz w:val="24"/>
                <w:szCs w:val="24"/>
              </w:rPr>
              <w:t> 3.	Меры по предотвращению и обнаружению рисков, определение приоритетного числа риска и рекомендуемые мероприятия.</w:t>
            </w:r>
          </w:p>
          <w:p>
            <w:pPr>
              <w:jc w:val="left"/>
              <w:spacing w:after="0" w:line="240" w:lineRule="auto"/>
              <w:rPr>
                <w:sz w:val="24"/>
                <w:szCs w:val="24"/>
              </w:rPr>
            </w:pPr>
            <w:r>
              <w:rPr>
                <w:rFonts w:ascii="Times New Roman" w:hAnsi="Times New Roman" w:cs="Times New Roman"/>
                <w:color w:val="#000000"/>
                <w:sz w:val="24"/>
                <w:szCs w:val="24"/>
              </w:rPr>
              <w:t> 4.	Потенциальные риски процесса / функции/ требования, значение и механизмы возникновения.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противорисковых мероприятий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Способы противодействия рискам.</w:t>
            </w:r>
          </w:p>
          <w:p>
            <w:pPr>
              <w:jc w:val="left"/>
              <w:spacing w:after="0" w:line="240" w:lineRule="auto"/>
              <w:rPr>
                <w:sz w:val="24"/>
                <w:szCs w:val="24"/>
              </w:rPr>
            </w:pPr>
            <w:r>
              <w:rPr>
                <w:rFonts w:ascii="Times New Roman" w:hAnsi="Times New Roman" w:cs="Times New Roman"/>
                <w:color w:val="#000000"/>
                <w:sz w:val="24"/>
                <w:szCs w:val="24"/>
              </w:rPr>
              <w:t> 2.	Избегание. Программы недопущения рисков. Мониторинг. Отсутствие действий (сознательное).</w:t>
            </w:r>
          </w:p>
          <w:p>
            <w:pPr>
              <w:jc w:val="left"/>
              <w:spacing w:after="0" w:line="240" w:lineRule="auto"/>
              <w:rPr>
                <w:sz w:val="24"/>
                <w:szCs w:val="24"/>
              </w:rPr>
            </w:pPr>
            <w:r>
              <w:rPr>
                <w:rFonts w:ascii="Times New Roman" w:hAnsi="Times New Roman" w:cs="Times New Roman"/>
                <w:color w:val="#000000"/>
                <w:sz w:val="24"/>
                <w:szCs w:val="24"/>
              </w:rPr>
              <w:t> 3.	Изменение вероятности наступления события.</w:t>
            </w:r>
          </w:p>
          <w:p>
            <w:pPr>
              <w:jc w:val="left"/>
              <w:spacing w:after="0" w:line="240" w:lineRule="auto"/>
              <w:rPr>
                <w:sz w:val="24"/>
                <w:szCs w:val="24"/>
              </w:rPr>
            </w:pPr>
            <w:r>
              <w:rPr>
                <w:rFonts w:ascii="Times New Roman" w:hAnsi="Times New Roman" w:cs="Times New Roman"/>
                <w:color w:val="#000000"/>
                <w:sz w:val="24"/>
                <w:szCs w:val="24"/>
              </w:rPr>
              <w:t> 4.	Расходы на недопущение риска.</w:t>
            </w:r>
          </w:p>
          <w:p>
            <w:pPr>
              <w:jc w:val="left"/>
              <w:spacing w:after="0" w:line="240" w:lineRule="auto"/>
              <w:rPr>
                <w:sz w:val="24"/>
                <w:szCs w:val="24"/>
              </w:rPr>
            </w:pPr>
            <w:r>
              <w:rPr>
                <w:rFonts w:ascii="Times New Roman" w:hAnsi="Times New Roman" w:cs="Times New Roman"/>
                <w:color w:val="#000000"/>
                <w:sz w:val="24"/>
                <w:szCs w:val="24"/>
              </w:rPr>
              <w:t> 5.	Особенности работы по рискам группы ПБиОТ и экология.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концепция развития и организация внутреннего аудита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Внутренний аудит как эффективная форма контроля в системе корпоративного управления хозяйствующим субъектом.</w:t>
            </w:r>
          </w:p>
          <w:p>
            <w:pPr>
              <w:jc w:val="left"/>
              <w:spacing w:after="0" w:line="240" w:lineRule="auto"/>
              <w:rPr>
                <w:sz w:val="24"/>
                <w:szCs w:val="24"/>
              </w:rPr>
            </w:pPr>
            <w:r>
              <w:rPr>
                <w:rFonts w:ascii="Times New Roman" w:hAnsi="Times New Roman" w:cs="Times New Roman"/>
                <w:color w:val="#000000"/>
                <w:sz w:val="24"/>
                <w:szCs w:val="24"/>
              </w:rPr>
              <w:t> 2.	Сущность внутреннего аудита и концепция его развития. Цель, виды, задачи внутреннего аудита.</w:t>
            </w:r>
          </w:p>
          <w:p>
            <w:pPr>
              <w:jc w:val="left"/>
              <w:spacing w:after="0" w:line="240" w:lineRule="auto"/>
              <w:rPr>
                <w:sz w:val="24"/>
                <w:szCs w:val="24"/>
              </w:rPr>
            </w:pPr>
            <w:r>
              <w:rPr>
                <w:rFonts w:ascii="Times New Roman" w:hAnsi="Times New Roman" w:cs="Times New Roman"/>
                <w:color w:val="#000000"/>
                <w:sz w:val="24"/>
                <w:szCs w:val="24"/>
              </w:rPr>
              <w:t> 3.	Риск-ориентированный внутренний аудит. Его взаимосвязь с другими формами финансового контроля.</w:t>
            </w:r>
          </w:p>
          <w:p>
            <w:pPr>
              <w:jc w:val="left"/>
              <w:spacing w:after="0" w:line="240" w:lineRule="auto"/>
              <w:rPr>
                <w:sz w:val="24"/>
                <w:szCs w:val="24"/>
              </w:rPr>
            </w:pPr>
            <w:r>
              <w:rPr>
                <w:rFonts w:ascii="Times New Roman" w:hAnsi="Times New Roman" w:cs="Times New Roman"/>
                <w:color w:val="#000000"/>
                <w:sz w:val="24"/>
                <w:szCs w:val="24"/>
              </w:rPr>
              <w:t> 4.	Сущность и значение стандартов внутреннего аудита, как инструментов нормативного и методологического регулирования внутреннего аудита.</w:t>
            </w:r>
          </w:p>
          <w:p>
            <w:pPr>
              <w:jc w:val="left"/>
              <w:spacing w:after="0" w:line="240" w:lineRule="auto"/>
              <w:rPr>
                <w:sz w:val="24"/>
                <w:szCs w:val="24"/>
              </w:rPr>
            </w:pPr>
            <w:r>
              <w:rPr>
                <w:rFonts w:ascii="Times New Roman" w:hAnsi="Times New Roman" w:cs="Times New Roman"/>
                <w:color w:val="#000000"/>
                <w:sz w:val="24"/>
                <w:szCs w:val="24"/>
              </w:rPr>
              <w:t> 5.	 Международные профессиональные стандарты внутреннего аудита. Методические приемы внутреннего аудита.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Процедуры оценки рисков и сопутствующие действия</w:t>
            </w:r>
          </w:p>
        </w:tc>
      </w:tr>
      <w:tr>
        <w:trPr>
          <w:trHeight w:hRule="exact" w:val="21.31518"/>
        </w:trPr>
        <w:tc>
          <w:tcPr>
            <w:tcW w:w="9640" w:type="dxa"/>
          </w:tcPr>
          <w:p/>
        </w:tc>
      </w:tr>
      <w:tr>
        <w:trPr>
          <w:trHeight w:hRule="exact" w:val="446.58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Риски, требующие особого внимания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Пересмотр оценки рисков</w:t>
            </w:r>
          </w:p>
          <w:p>
            <w:pPr>
              <w:jc w:val="left"/>
              <w:spacing w:after="0" w:line="240" w:lineRule="auto"/>
              <w:rPr>
                <w:sz w:val="24"/>
                <w:szCs w:val="24"/>
              </w:rPr>
            </w:pPr>
            <w:r>
              <w:rPr>
                <w:rFonts w:ascii="Times New Roman" w:hAnsi="Times New Roman" w:cs="Times New Roman"/>
                <w:color w:val="#000000"/>
                <w:sz w:val="24"/>
                <w:szCs w:val="24"/>
              </w:rPr>
              <w:t> 5.	Методики выявления и оценки рисков существенного искажения бухгалтерской (финансовой) отчетности, выявление факторов их воздействия</w:t>
            </w:r>
          </w:p>
        </w:tc>
      </w:tr>
      <w:tr>
        <w:trPr>
          <w:trHeight w:hRule="exact" w:val="8.08498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Технология внутреннего аудита. Внутренний аудит финансово- инвестиционного цикла</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Цель внутреннего аудита финансово-инвестиционного цикла, нормативная база, источники информации.</w:t>
            </w:r>
          </w:p>
          <w:p>
            <w:pPr>
              <w:jc w:val="left"/>
              <w:spacing w:after="0" w:line="240" w:lineRule="auto"/>
              <w:rPr>
                <w:sz w:val="24"/>
                <w:szCs w:val="24"/>
              </w:rPr>
            </w:pPr>
            <w:r>
              <w:rPr>
                <w:rFonts w:ascii="Times New Roman" w:hAnsi="Times New Roman" w:cs="Times New Roman"/>
                <w:color w:val="#000000"/>
                <w:sz w:val="24"/>
                <w:szCs w:val="24"/>
              </w:rPr>
              <w:t> 2.	Оценка систем внутреннего контроля и учета операций финансово-инвестиционного цикла.</w:t>
            </w:r>
          </w:p>
          <w:p>
            <w:pPr>
              <w:jc w:val="left"/>
              <w:spacing w:after="0" w:line="240" w:lineRule="auto"/>
              <w:rPr>
                <w:sz w:val="24"/>
                <w:szCs w:val="24"/>
              </w:rPr>
            </w:pPr>
            <w:r>
              <w:rPr>
                <w:rFonts w:ascii="Times New Roman" w:hAnsi="Times New Roman" w:cs="Times New Roman"/>
                <w:color w:val="#000000"/>
                <w:sz w:val="24"/>
                <w:szCs w:val="24"/>
              </w:rPr>
              <w:t> 3.	Контроль реализации решений руководства проверяемого хозяйствующего субъекта, принятых на основе рекомендаций внутреннего аудитора.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рисками. Аудит и внутренний контроль» / Сргиенко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https://urait.ru/bcode/469401</w:t>
            </w:r>
            <w:r>
              <w:rPr/>
              <w:t xml:space="preserve"> </w:t>
            </w:r>
          </w:p>
        </w:tc>
      </w:tr>
      <w:tr>
        <w:trPr>
          <w:trHeight w:hRule="exact" w:val="528.464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Таскаева,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Ю.</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МИСИ-МГСУ,</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978-5-7264-2175-9.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http://www.iprbookshop.ru/101862.html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2024-2025_ФГОС3++2024_Бак-ОФО-Мен_(Мзд)(24)_plx_Управление рисками_ Аудит и внутренний контроль</dc:title>
  <dc:creator>FastReport.NET</dc:creator>
</cp:coreProperties>
</file>